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85CB8">
      <w:pPr>
        <w:spacing w:after="240"/>
      </w:pPr>
      <w:r>
        <w:rPr>
          <w:rFonts w:ascii="Calibri" w:hAnsi="Calibri" w:eastAsia="Calibri" w:cs="Calibri"/>
          <w:b/>
          <w:bCs/>
          <w:sz w:val="24"/>
          <w:szCs w:val="24"/>
        </w:rPr>
        <w:t>WORLD POPULATION DAY 2026 — Young Ghanaians Still Want Marriage and Children, But Say They Can’t Afford Either</w:t>
      </w:r>
    </w:p>
    <w:p w14:paraId="7D453B19">
      <w:pPr>
        <w:spacing w:after="200" w:line="300" w:lineRule="auto"/>
        <w:jc w:val="left"/>
      </w:pPr>
      <w:r>
        <w:rPr>
          <w:rFonts w:ascii="Calibri" w:hAnsi="Calibri" w:eastAsia="Calibri" w:cs="Calibri"/>
          <w:b/>
          <w:bCs/>
          <w:sz w:val="22"/>
          <w:szCs w:val="22"/>
        </w:rPr>
        <w:t xml:space="preserve">ACCRA, July 11, 2026. </w:t>
      </w:r>
      <w:r>
        <w:rPr>
          <w:rFonts w:ascii="Calibri" w:hAnsi="Calibri" w:eastAsia="Calibri" w:cs="Calibri"/>
          <w:sz w:val="22"/>
          <w:szCs w:val="22"/>
        </w:rPr>
        <w:t>World Population Day is marked every July 11, observed globally today. The United Nations established the day in 1989 to focus attention on population issues, from reproductive health to education and jobs, and to press governments to invest in young people, investments that UNFPA, the day's lead agency, says determine whether a fast-growing population becomes an economic asset or a strain on public services.</w:t>
      </w:r>
    </w:p>
    <w:p w14:paraId="6D3F60AC">
      <w:pPr>
        <w:spacing w:after="200" w:line="300" w:lineRule="auto"/>
        <w:jc w:val="left"/>
      </w:pPr>
      <w:r>
        <w:rPr>
          <w:rFonts w:ascii="Calibri" w:hAnsi="Calibri" w:eastAsia="Calibri" w:cs="Calibri"/>
          <w:sz w:val="22"/>
          <w:szCs w:val="22"/>
        </w:rPr>
        <w:t>This year's theme, “</w:t>
      </w:r>
      <w:r>
        <w:rPr>
          <w:rFonts w:ascii="Calibri" w:hAnsi="Calibri" w:eastAsia="Calibri" w:cs="Calibri"/>
          <w:i/>
          <w:iCs/>
          <w:sz w:val="22"/>
          <w:szCs w:val="22"/>
        </w:rPr>
        <w:t>Realizing the hopes and aspirations of young people, today and for the future</w:t>
      </w:r>
      <w:r>
        <w:rPr>
          <w:rFonts w:ascii="Calibri" w:hAnsi="Calibri" w:eastAsia="Calibri" w:cs="Calibri"/>
          <w:sz w:val="22"/>
          <w:szCs w:val="22"/>
        </w:rPr>
        <w:t xml:space="preserve">”, puts young adults' own priorities around marriage, family and livelihoods at the centre of the observance. It draws on a new UNFPA report, </w:t>
      </w:r>
      <w:r>
        <w:rPr>
          <w:rFonts w:ascii="Calibri" w:hAnsi="Calibri" w:eastAsia="Calibri" w:cs="Calibri"/>
          <w:i/>
          <w:iCs/>
          <w:sz w:val="22"/>
          <w:szCs w:val="22"/>
        </w:rPr>
        <w:t>Lives, Choices and Futures</w:t>
      </w:r>
      <w:r>
        <w:rPr>
          <w:rFonts w:ascii="Calibri" w:hAnsi="Calibri" w:eastAsia="Calibri" w:cs="Calibri"/>
          <w:sz w:val="22"/>
          <w:szCs w:val="22"/>
        </w:rPr>
        <w:t>, based on the agency's Demographic Futures Survey of more than 108,000 young adults across 73 countries, published last week.</w:t>
      </w:r>
    </w:p>
    <w:p w14:paraId="1EA63381">
      <w:pPr>
        <w:spacing w:before="100" w:after="100"/>
      </w:pPr>
      <w:r>
        <w:rPr>
          <w:rFonts w:ascii="Calibri" w:hAnsi="Calibri" w:eastAsia="Calibri" w:cs="Calibri"/>
          <w:b/>
          <w:bCs/>
          <w:sz w:val="20"/>
          <w:szCs w:val="20"/>
        </w:rPr>
        <w:t>AT A GLANCE</w:t>
      </w:r>
    </w:p>
    <w:p w14:paraId="18C6686E">
      <w:pPr>
        <w:spacing w:after="60"/>
      </w:pPr>
      <w:r>
        <w:rPr>
          <w:rFonts w:ascii="Calibri" w:hAnsi="Calibri" w:eastAsia="Calibri" w:cs="Calibri"/>
          <w:sz w:val="22"/>
          <w:szCs w:val="22"/>
        </w:rPr>
        <w:t>•  Most young adults still want marriage and children, but say they can't afford either</w:t>
      </w:r>
    </w:p>
    <w:p w14:paraId="07D6B131">
      <w:pPr>
        <w:spacing w:after="60"/>
      </w:pPr>
      <w:r>
        <w:rPr>
          <w:rFonts w:ascii="Calibri" w:hAnsi="Calibri" w:eastAsia="Calibri" w:cs="Calibri"/>
          <w:sz w:val="22"/>
          <w:szCs w:val="22"/>
        </w:rPr>
        <w:t>•  Over two-thirds of 18–39 year-olds want marriage; only about 1 in 10 want no children</w:t>
      </w:r>
    </w:p>
    <w:p w14:paraId="21945610">
      <w:pPr>
        <w:spacing w:after="60"/>
      </w:pPr>
      <w:r>
        <w:rPr>
          <w:rFonts w:ascii="Calibri" w:hAnsi="Calibri" w:eastAsia="Calibri" w:cs="Calibri"/>
          <w:sz w:val="22"/>
          <w:szCs w:val="22"/>
        </w:rPr>
        <w:t>•  88% cite financial security and 87% stable employment as preconditions for parenthood</w:t>
      </w:r>
    </w:p>
    <w:p w14:paraId="78B0B622">
      <w:pPr>
        <w:spacing w:after="260"/>
      </w:pPr>
      <w:r>
        <w:rPr>
          <w:rFonts w:ascii="Calibri" w:hAnsi="Calibri" w:eastAsia="Calibri" w:cs="Calibri"/>
          <w:sz w:val="22"/>
          <w:szCs w:val="22"/>
        </w:rPr>
        <w:t>•  In Ghana, over half of the 33 million population is under 25</w:t>
      </w:r>
    </w:p>
    <w:p w14:paraId="77A7725B">
      <w:pPr>
        <w:spacing w:after="200" w:line="300" w:lineRule="auto"/>
        <w:jc w:val="left"/>
      </w:pPr>
      <w:bookmarkStart w:id="0" w:name="_GoBack"/>
      <w:r>
        <w:rPr>
          <w:rFonts w:ascii="Calibri" w:hAnsi="Calibri" w:eastAsia="Calibri" w:cs="Calibri"/>
          <w:sz w:val="22"/>
          <w:szCs w:val="22"/>
        </w:rPr>
        <w:t>“The findings are striking: most young people aspire to partnership and parenthood,” UNFPA Executive Director Diene Keita said at the report's launch in New York, adding that when financial barriers come down, young people are able to make “the choices that are right for them.”</w:t>
      </w:r>
    </w:p>
    <w:bookmarkEnd w:id="0"/>
    <w:p w14:paraId="22E6D5BE">
      <w:pPr>
        <w:spacing w:after="200" w:line="300" w:lineRule="auto"/>
        <w:jc w:val="left"/>
      </w:pPr>
      <w:r>
        <w:rPr>
          <w:rFonts w:ascii="Calibri" w:hAnsi="Calibri" w:eastAsia="Calibri" w:cs="Calibri"/>
          <w:sz w:val="22"/>
          <w:szCs w:val="22"/>
        </w:rPr>
        <w:t>The survey is not nationally representative and reflects mainly internet-connected young adults, its authors caution. Even so, they say the results challenge a narrative that young people are turning away from family life: 80 percent of respondents cited the joy children bring as a reason for wanting them, while government encouragement ranked among the lowest-rated motivations. In West and Central Africa, which includes Ghana, respondents reported larger ideal family sizes than in most other regions surveyed.</w:t>
      </w:r>
    </w:p>
    <w:p w14:paraId="1D37D52D">
      <w:pPr>
        <w:spacing w:after="200" w:line="300" w:lineRule="auto"/>
        <w:jc w:val="left"/>
      </w:pPr>
      <w:r>
        <w:rPr>
          <w:rFonts w:ascii="Calibri" w:hAnsi="Calibri" w:eastAsia="Calibri" w:cs="Calibri"/>
          <w:sz w:val="22"/>
          <w:szCs w:val="22"/>
        </w:rPr>
        <w:t>The theme lands differently in a country like Ghana, where more than half the population of 33 million is under 25. UNFPA and demographers have long argued that a youth-heavy population can produce a “demographic dividend,” meaning faster economic growth driven by a large working-age population, but only where that generation has access to health services, education and jobs. Where access is thin, the survey's central finding applies directly: the barrier is not a lack of desire for reproductive choice, but a lack of the conditions needed to exercise it.</w:t>
      </w:r>
    </w:p>
    <w:p w14:paraId="14E9B18C">
      <w:pPr>
        <w:spacing w:after="200" w:line="300" w:lineRule="auto"/>
        <w:jc w:val="left"/>
      </w:pPr>
      <w:r>
        <w:rPr>
          <w:rFonts w:ascii="Calibri" w:hAnsi="Calibri" w:eastAsia="Calibri" w:cs="Calibri"/>
          <w:sz w:val="22"/>
          <w:szCs w:val="22"/>
        </w:rPr>
        <w:t>Ghana's own data reflects that gap. According to the 2022 Ghana Demographic and Health Survey, 27.8 percent of married women use a modern contraceptive method, and 23.4 percent have an unmet need for family planning. Total demand for family planning stands at 59.7 percent, of which just over 60 percent is currently being met. The country's total fertility rate was 3.9 children per woman in 2022, largely flat since 2017 after a steep decline from 6.4 in 1988. Ghana's maternal mortality ratio is estimated at roughly 253 to 263 deaths per 100,000 live births as of 2020, according to the WHO and partner agencies, down from close to 500 in 2000, though still far above the global Sustainable Development Goal target of 70 by 2030.</w:t>
      </w:r>
    </w:p>
    <w:p w14:paraId="2DDED9F2">
      <w:pPr>
        <w:spacing w:after="200" w:line="300" w:lineRule="auto"/>
        <w:jc w:val="left"/>
      </w:pPr>
      <w:r>
        <w:rPr>
          <w:rFonts w:ascii="Calibri" w:hAnsi="Calibri" w:eastAsia="Calibri" w:cs="Calibri"/>
          <w:sz w:val="22"/>
          <w:szCs w:val="22"/>
        </w:rPr>
        <w:t>Reproductive health providers in the country point to continued strain on services despite that progress. MSI Reproductive Choices Ghana, which runs eight clinics in Accra, Kumasi and Takoradi alongside public-sector partnerships and pharmacy-based distribution, reported 107,184 client visits in the first half of 2026, according to its own programme data, with young people aged 15 to 24 accounting for 35 percent of that total. The figures are self-reported and have not been independently audited.</w:t>
      </w:r>
    </w:p>
    <w:p w14:paraId="538D47D7">
      <w:pPr>
        <w:spacing w:after="300" w:line="300" w:lineRule="auto"/>
        <w:jc w:val="left"/>
      </w:pPr>
      <w:r>
        <w:rPr>
          <w:rFonts w:ascii="Calibri" w:hAnsi="Calibri" w:eastAsia="Calibri" w:cs="Calibri"/>
          <w:sz w:val="22"/>
          <w:szCs w:val="22"/>
        </w:rPr>
        <w:t>UNFPA said a fuller analysis of the Demographic Futures Survey, including policy recommendations, will appear in its upcoming State of World Population 2026 report.</w:t>
      </w:r>
    </w:p>
    <w:p w14:paraId="4A05DEBB">
      <w:pPr>
        <w:spacing w:after="100"/>
      </w:pPr>
      <w:r>
        <w:rPr>
          <w:rFonts w:ascii="Calibri" w:hAnsi="Calibri" w:eastAsia="Calibri" w:cs="Calibri"/>
          <w:b/>
          <w:bCs/>
          <w:sz w:val="22"/>
          <w:szCs w:val="22"/>
        </w:rPr>
        <w:t>MSI GHANA PROGRAMME DATA, JANUARY TO JUNE 2026</w:t>
      </w:r>
    </w:p>
    <w:p w14:paraId="06C6B398">
      <w:pPr>
        <w:spacing w:after="200"/>
      </w:pPr>
      <w:r>
        <w:rPr>
          <w:rFonts w:ascii="Calibri" w:hAnsi="Calibri" w:eastAsia="Calibri" w:cs="Calibri"/>
          <w:i/>
          <w:iCs/>
          <w:sz w:val="18"/>
          <w:szCs w:val="18"/>
        </w:rPr>
        <w:t>Figures below are drawn from MSI Reproductive Choices Ghana’s own internal monitoring and evaluation records and have not been independently verified.</w:t>
      </w:r>
    </w:p>
    <w:tbl>
      <w:tblPr>
        <w:tblStyle w:val="9"/>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250"/>
        <w:gridCol w:w="2250"/>
        <w:gridCol w:w="2250"/>
        <w:gridCol w:w="2250"/>
      </w:tblGrid>
      <w:tr w14:paraId="1BC27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50" w:type="dxa"/>
            <w:shd w:val="clear" w:color="auto" w:fill="F2F2F2"/>
            <w:tcMar>
              <w:top w:w="150" w:type="dxa"/>
              <w:left w:w="120" w:type="dxa"/>
              <w:bottom w:w="150" w:type="dxa"/>
              <w:right w:w="120" w:type="dxa"/>
            </w:tcMar>
          </w:tcPr>
          <w:p w14:paraId="3A81CE17">
            <w:pPr>
              <w:spacing w:after="80"/>
              <w:jc w:val="center"/>
            </w:pPr>
            <w:r>
              <w:rPr>
                <w:rFonts w:ascii="Calibri" w:hAnsi="Calibri" w:eastAsia="Calibri" w:cs="Calibri"/>
                <w:b/>
                <w:bCs/>
                <w:sz w:val="26"/>
                <w:szCs w:val="26"/>
              </w:rPr>
              <w:t>107,184</w:t>
            </w:r>
          </w:p>
          <w:p w14:paraId="7B49AC9F">
            <w:pPr>
              <w:jc w:val="center"/>
            </w:pPr>
            <w:r>
              <w:rPr>
                <w:rFonts w:ascii="Calibri" w:hAnsi="Calibri" w:eastAsia="Calibri" w:cs="Calibri"/>
                <w:sz w:val="18"/>
                <w:szCs w:val="18"/>
              </w:rPr>
              <w:t>Total Client Visits</w:t>
            </w:r>
          </w:p>
        </w:tc>
        <w:tc>
          <w:tcPr>
            <w:tcW w:w="2250" w:type="dxa"/>
            <w:shd w:val="clear" w:color="auto" w:fill="F2F2F2"/>
            <w:tcMar>
              <w:top w:w="150" w:type="dxa"/>
              <w:left w:w="120" w:type="dxa"/>
              <w:bottom w:w="150" w:type="dxa"/>
              <w:right w:w="120" w:type="dxa"/>
            </w:tcMar>
          </w:tcPr>
          <w:p w14:paraId="109946F4">
            <w:pPr>
              <w:spacing w:after="80"/>
              <w:jc w:val="center"/>
            </w:pPr>
            <w:r>
              <w:rPr>
                <w:rFonts w:ascii="Calibri" w:hAnsi="Calibri" w:eastAsia="Calibri" w:cs="Calibri"/>
                <w:b/>
                <w:bCs/>
                <w:sz w:val="26"/>
                <w:szCs w:val="26"/>
              </w:rPr>
              <w:t>97,799</w:t>
            </w:r>
          </w:p>
          <w:p w14:paraId="76BE9F02">
            <w:pPr>
              <w:jc w:val="center"/>
            </w:pPr>
            <w:r>
              <w:rPr>
                <w:rFonts w:ascii="Calibri" w:hAnsi="Calibri" w:eastAsia="Calibri" w:cs="Calibri"/>
                <w:sz w:val="18"/>
                <w:szCs w:val="18"/>
              </w:rPr>
              <w:t>Couple Years of Protection</w:t>
            </w:r>
          </w:p>
        </w:tc>
        <w:tc>
          <w:tcPr>
            <w:tcW w:w="2250" w:type="dxa"/>
            <w:shd w:val="clear" w:color="auto" w:fill="F2F2F2"/>
            <w:tcMar>
              <w:top w:w="150" w:type="dxa"/>
              <w:left w:w="120" w:type="dxa"/>
              <w:bottom w:w="150" w:type="dxa"/>
              <w:right w:w="120" w:type="dxa"/>
            </w:tcMar>
          </w:tcPr>
          <w:p w14:paraId="5B45292F">
            <w:pPr>
              <w:spacing w:after="80"/>
              <w:jc w:val="center"/>
            </w:pPr>
            <w:r>
              <w:rPr>
                <w:rFonts w:ascii="Calibri" w:hAnsi="Calibri" w:eastAsia="Calibri" w:cs="Calibri"/>
                <w:b/>
                <w:bCs/>
                <w:sz w:val="26"/>
                <w:szCs w:val="26"/>
              </w:rPr>
              <w:t>81,225</w:t>
            </w:r>
          </w:p>
          <w:p w14:paraId="42CF4EEB">
            <w:pPr>
              <w:jc w:val="center"/>
            </w:pPr>
            <w:r>
              <w:rPr>
                <w:rFonts w:ascii="Calibri" w:hAnsi="Calibri" w:eastAsia="Calibri" w:cs="Calibri"/>
                <w:sz w:val="18"/>
                <w:szCs w:val="18"/>
              </w:rPr>
              <w:t>Long-Acting Methods (IUDs &amp; Implants)</w:t>
            </w:r>
          </w:p>
        </w:tc>
        <w:tc>
          <w:tcPr>
            <w:tcW w:w="2250" w:type="dxa"/>
            <w:shd w:val="clear" w:color="auto" w:fill="F2F2F2"/>
            <w:tcMar>
              <w:top w:w="150" w:type="dxa"/>
              <w:left w:w="120" w:type="dxa"/>
              <w:bottom w:w="150" w:type="dxa"/>
              <w:right w:w="120" w:type="dxa"/>
            </w:tcMar>
          </w:tcPr>
          <w:p w14:paraId="41A63C7A">
            <w:pPr>
              <w:spacing w:after="80"/>
              <w:jc w:val="center"/>
            </w:pPr>
            <w:r>
              <w:rPr>
                <w:rFonts w:ascii="Calibri" w:hAnsi="Calibri" w:eastAsia="Calibri" w:cs="Calibri"/>
                <w:b/>
                <w:bCs/>
                <w:sz w:val="26"/>
                <w:szCs w:val="26"/>
              </w:rPr>
              <w:t>37,663</w:t>
            </w:r>
          </w:p>
          <w:p w14:paraId="7852BA59">
            <w:pPr>
              <w:jc w:val="center"/>
            </w:pPr>
            <w:r>
              <w:rPr>
                <w:rFonts w:ascii="Calibri" w:hAnsi="Calibri" w:eastAsia="Calibri" w:cs="Calibri"/>
                <w:sz w:val="18"/>
                <w:szCs w:val="18"/>
              </w:rPr>
              <w:t>Young People Served (15 to 24)</w:t>
            </w:r>
          </w:p>
        </w:tc>
      </w:tr>
    </w:tbl>
    <w:p w14:paraId="75C20FA4">
      <w:pPr>
        <w:spacing w:before="200" w:after="100"/>
      </w:pPr>
    </w:p>
    <w:p w14:paraId="5894AA29">
      <w:pPr>
        <w:spacing w:after="100"/>
      </w:pPr>
      <w:r>
        <w:rPr>
          <w:rFonts w:ascii="Calibri" w:hAnsi="Calibri" w:eastAsia="Calibri" w:cs="Calibri"/>
          <w:b/>
          <w:bCs/>
          <w:sz w:val="22"/>
          <w:szCs w:val="22"/>
        </w:rPr>
        <w:t>Youth breakdown:</w:t>
      </w:r>
    </w:p>
    <w:p w14:paraId="279720CA">
      <w:pPr>
        <w:spacing w:after="60"/>
      </w:pPr>
      <w:r>
        <w:rPr>
          <w:rFonts w:ascii="Calibri" w:hAnsi="Calibri" w:eastAsia="Calibri" w:cs="Calibri"/>
          <w:sz w:val="22"/>
          <w:szCs w:val="22"/>
        </w:rPr>
        <w:t>•  Ages 15 to 19: 7,058 visits (19% of youth visits)</w:t>
      </w:r>
    </w:p>
    <w:p w14:paraId="6141B392">
      <w:pPr>
        <w:spacing w:after="60"/>
      </w:pPr>
      <w:r>
        <w:rPr>
          <w:rFonts w:ascii="Calibri" w:hAnsi="Calibri" w:eastAsia="Calibri" w:cs="Calibri"/>
          <w:sz w:val="22"/>
          <w:szCs w:val="22"/>
        </w:rPr>
        <w:t>•  Ages 20 to 24: 29,726 visits (81% of youth visits)</w:t>
      </w:r>
    </w:p>
    <w:p w14:paraId="08D63EE7">
      <w:pPr>
        <w:spacing w:after="200"/>
      </w:pPr>
      <w:r>
        <w:rPr>
          <w:rFonts w:ascii="Calibri" w:hAnsi="Calibri" w:eastAsia="Calibri" w:cs="Calibri"/>
          <w:sz w:val="22"/>
          <w:szCs w:val="22"/>
        </w:rPr>
        <w:t>•  Youth (15 to 24) share of all client visits: 35%</w:t>
      </w:r>
    </w:p>
    <w:p w14:paraId="2030BD90">
      <w:r>
        <w:rPr>
          <w:rFonts w:ascii="Calibri" w:hAnsi="Calibri" w:eastAsia="Calibri" w:cs="Calibri"/>
          <w:i/>
          <w:iCs/>
          <w:sz w:val="18"/>
          <w:szCs w:val="18"/>
        </w:rPr>
        <w:t>Sources: United Nations, World Population Prospects 2024; Ghana Statistical Service, Ghana Health Service and ICF, Ghana Demographic and Health Survey (GDHS) 2022; World Health Organization, Trends in Maternal Mortality 2000 to 2020; UNFPA; MSI Ghana Programme Data, January to June 2026.</w:t>
      </w:r>
    </w:p>
    <w:sectPr>
      <w:pgSz w:w="12240" w:h="15840"/>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documentProtection w:enforcement="0"/>
  <w:compat>
    <w:compatSetting w:name="compatibilityMode" w:uri="http://schemas.microsoft.com/office/word" w:val="15"/>
  </w:compat>
  <w:rsids>
    <w:rsidRoot w:val="00000000"/>
    <w:rsid w:val="68E949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iPriority="99" w:name="endnote reference"/>
    <w:lsdException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sz w:val="21"/>
      <w:szCs w:val="22"/>
    </w:rPr>
  </w:style>
  <w:style w:type="paragraph" w:styleId="2">
    <w:name w:val="heading 1"/>
    <w:next w:val="1"/>
    <w:qFormat/>
    <w:uiPriority w:val="0"/>
    <w:rPr>
      <w:color w:val="2E74B5"/>
      <w:sz w:val="32"/>
      <w:szCs w:val="32"/>
    </w:rPr>
  </w:style>
  <w:style w:type="paragraph" w:styleId="3">
    <w:name w:val="heading 2"/>
    <w:next w:val="1"/>
    <w:qFormat/>
    <w:uiPriority w:val="0"/>
    <w:rPr>
      <w:color w:val="2E74B5"/>
      <w:sz w:val="26"/>
      <w:szCs w:val="26"/>
    </w:rPr>
  </w:style>
  <w:style w:type="paragraph" w:styleId="4">
    <w:name w:val="heading 3"/>
    <w:next w:val="1"/>
    <w:qFormat/>
    <w:uiPriority w:val="0"/>
    <w:rPr>
      <w:color w:val="1F4D78"/>
      <w:sz w:val="24"/>
      <w:szCs w:val="24"/>
    </w:rPr>
  </w:style>
  <w:style w:type="paragraph" w:styleId="5">
    <w:name w:val="heading 4"/>
    <w:next w:val="1"/>
    <w:qFormat/>
    <w:uiPriority w:val="0"/>
    <w:rPr>
      <w:i/>
      <w:iCs/>
      <w:color w:val="2E74B5"/>
      <w:sz w:val="21"/>
      <w:szCs w:val="22"/>
    </w:rPr>
  </w:style>
  <w:style w:type="paragraph" w:styleId="6">
    <w:name w:val="heading 5"/>
    <w:next w:val="1"/>
    <w:qFormat/>
    <w:uiPriority w:val="0"/>
    <w:rPr>
      <w:color w:val="2E74B5"/>
      <w:sz w:val="21"/>
      <w:szCs w:val="22"/>
    </w:rPr>
  </w:style>
  <w:style w:type="paragraph" w:styleId="7">
    <w:name w:val="heading 6"/>
    <w:next w:val="1"/>
    <w:qFormat/>
    <w:uiPriority w:val="0"/>
    <w:rPr>
      <w:color w:val="1F4D78"/>
      <w:sz w:val="21"/>
      <w:szCs w:val="22"/>
    </w:rPr>
  </w:style>
  <w:style w:type="character" w:default="1" w:styleId="8">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character" w:styleId="10">
    <w:name w:val="endnote reference"/>
    <w:semiHidden/>
    <w:unhideWhenUsed/>
    <w:uiPriority w:val="99"/>
    <w:rPr>
      <w:vertAlign w:val="superscript"/>
    </w:rPr>
  </w:style>
  <w:style w:type="paragraph" w:styleId="11">
    <w:name w:val="endnote text"/>
    <w:link w:val="18"/>
    <w:semiHidden/>
    <w:unhideWhenUsed/>
    <w:uiPriority w:val="99"/>
    <w:pPr>
      <w:spacing w:after="0" w:line="240" w:lineRule="auto"/>
    </w:pPr>
    <w:rPr>
      <w:sz w:val="20"/>
      <w:szCs w:val="20"/>
    </w:rPr>
  </w:style>
  <w:style w:type="character" w:styleId="12">
    <w:name w:val="footnote reference"/>
    <w:semiHidden/>
    <w:unhideWhenUsed/>
    <w:uiPriority w:val="99"/>
    <w:rPr>
      <w:vertAlign w:val="superscript"/>
    </w:rPr>
  </w:style>
  <w:style w:type="paragraph" w:styleId="13">
    <w:name w:val="footnote text"/>
    <w:link w:val="17"/>
    <w:semiHidden/>
    <w:unhideWhenUsed/>
    <w:qFormat/>
    <w:uiPriority w:val="99"/>
    <w:pPr>
      <w:spacing w:after="0" w:line="240" w:lineRule="auto"/>
    </w:pPr>
    <w:rPr>
      <w:sz w:val="20"/>
      <w:szCs w:val="20"/>
    </w:rPr>
  </w:style>
  <w:style w:type="character" w:styleId="14">
    <w:name w:val="Hyperlink"/>
    <w:unhideWhenUsed/>
    <w:uiPriority w:val="99"/>
    <w:rPr>
      <w:color w:val="0563C1"/>
      <w:u w:val="single"/>
    </w:rPr>
  </w:style>
  <w:style w:type="paragraph" w:styleId="15">
    <w:name w:val="Title"/>
    <w:qFormat/>
    <w:uiPriority w:val="0"/>
    <w:rPr>
      <w:sz w:val="56"/>
      <w:szCs w:val="56"/>
    </w:rPr>
  </w:style>
  <w:style w:type="paragraph" w:styleId="16">
    <w:name w:val="List Paragraph"/>
    <w:qFormat/>
    <w:uiPriority w:val="0"/>
    <w:rPr>
      <w:sz w:val="21"/>
      <w:szCs w:val="22"/>
    </w:rPr>
  </w:style>
  <w:style w:type="character" w:customStyle="1" w:styleId="17">
    <w:name w:val="Footnote Text Char"/>
    <w:link w:val="13"/>
    <w:semiHidden/>
    <w:unhideWhenUsed/>
    <w:qFormat/>
    <w:uiPriority w:val="99"/>
    <w:rPr>
      <w:sz w:val="20"/>
      <w:szCs w:val="20"/>
    </w:rPr>
  </w:style>
  <w:style w:type="character" w:customStyle="1" w:styleId="18">
    <w:name w:val="Endnote Text Char"/>
    <w:link w:val="11"/>
    <w:semiHidden/>
    <w:unhideWhenUsed/>
    <w:uiPriority w:val="99"/>
    <w:rPr>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769</Words>
  <Characters>4069</Characters>
  <TotalTime>13</TotalTime>
  <ScaleCrop>false</ScaleCrop>
  <LinksUpToDate>false</LinksUpToDate>
  <CharactersWithSpaces>4816</CharactersWithSpaces>
  <Application>WPS Office_12.1.0.26880_F1E327BC-269C-435d-A152-05C5408002CA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2026-07-10T19:04:00Z</dcterms:created>
  <dc:creator>Un-named</dc:creator>
  <cp:lastModifiedBy>Kabah-Leticia</cp:lastModifiedBy>
  <dcterms:modified xsi:type="dcterms:W3CDTF">2026-07-13T13:29:07Z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1220DAD91CE14947A4AEA2D7441DE6FD_13</vt:lpwstr>
  </property>
</Properties>
</file>